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A625" w14:textId="77777777" w:rsidR="00676AB5" w:rsidRDefault="00852CB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 xml:space="preserve">Fair Use of </w:t>
      </w:r>
      <w:r w:rsidR="00676AB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TPC Benchmark</w:t>
      </w:r>
      <w:r w:rsidR="002B2594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s</w:t>
      </w:r>
    </w:p>
    <w:p w14:paraId="2035C172" w14:textId="77777777" w:rsidR="00676AB5" w:rsidRDefault="007D3B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2019-0</w:t>
      </w:r>
      <w:r w:rsidR="00A90D7E">
        <w:rPr>
          <w:rFonts w:ascii="Helvetica" w:hAnsi="Helvetica" w:cs="Helvetica"/>
          <w:b/>
          <w:bCs/>
          <w:color w:val="000000"/>
          <w:sz w:val="20"/>
          <w:szCs w:val="20"/>
        </w:rPr>
        <w:t>6-05</w:t>
      </w:r>
    </w:p>
    <w:p w14:paraId="494AEA63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A0EA5BD" w14:textId="77777777" w:rsid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Rationale</w:t>
      </w:r>
    </w:p>
    <w:p w14:paraId="7EF93253" w14:textId="77777777" w:rsid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90CA538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The TPC, as an industry standards body, must be vigilant in ensuring that the results of TPC Benchmarks are used in a consistent and fair manner.  </w:t>
      </w:r>
    </w:p>
    <w:p w14:paraId="352B33FB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5575E778" w14:textId="77777777" w:rsidR="006A72EB" w:rsidRP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  <w:r w:rsidRPr="006A72EB">
        <w:rPr>
          <w:rFonts w:ascii="Helvetica" w:hAnsi="Helvetica" w:cs="Helvetica"/>
          <w:b/>
          <w:color w:val="000000"/>
          <w:sz w:val="20"/>
          <w:szCs w:val="20"/>
        </w:rPr>
        <w:t>Member Obligations</w:t>
      </w:r>
    </w:p>
    <w:p w14:paraId="273DC4C8" w14:textId="77777777" w:rsid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7B2EC80" w14:textId="77777777" w:rsidR="004A5F92" w:rsidRDefault="008374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As a condition of </w:t>
      </w:r>
      <w:r w:rsidR="00676AB5">
        <w:rPr>
          <w:rFonts w:ascii="Helvetica" w:hAnsi="Helvetica" w:cs="Helvetica"/>
          <w:color w:val="000000"/>
          <w:sz w:val="20"/>
          <w:szCs w:val="20"/>
        </w:rPr>
        <w:t>TPC member</w:t>
      </w:r>
      <w:r>
        <w:rPr>
          <w:rFonts w:ascii="Helvetica" w:hAnsi="Helvetica" w:cs="Helvetica"/>
          <w:color w:val="000000"/>
          <w:sz w:val="20"/>
          <w:szCs w:val="20"/>
        </w:rPr>
        <w:t>ship</w:t>
      </w:r>
      <w:r w:rsidR="00676AB5"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</w:rPr>
        <w:t xml:space="preserve">members </w:t>
      </w:r>
      <w:r w:rsidR="00676AB5">
        <w:rPr>
          <w:rFonts w:ascii="Helvetica" w:hAnsi="Helvetica" w:cs="Helvetica"/>
          <w:color w:val="000000"/>
          <w:sz w:val="20"/>
          <w:szCs w:val="20"/>
        </w:rPr>
        <w:t>are obligated to follow the TPC's Policies.  Failure to do so can result in TPC Fair Use violations, which can carry fines of up to $10,000 per infraction, and worst case, expulsion from the TPC.</w:t>
      </w:r>
    </w:p>
    <w:p w14:paraId="762794AF" w14:textId="77777777" w:rsidR="004A5F92" w:rsidRDefault="004A5F9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77FE187" w14:textId="77777777" w:rsidR="004A5F92" w:rsidRDefault="004A5F9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The TPC Policies are available here: </w:t>
      </w:r>
      <w:hyperlink r:id="rId5" w:history="1">
        <w:r w:rsidRPr="00225836">
          <w:rPr>
            <w:rStyle w:val="Hyperlink"/>
            <w:rFonts w:ascii="Helvetica" w:hAnsi="Helvetica" w:cs="Helvetica"/>
            <w:sz w:val="20"/>
            <w:szCs w:val="20"/>
          </w:rPr>
          <w:t>http://www.tpc.org/information/about/documentation/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2FFBDDDF" w14:textId="77777777" w:rsidR="004A5F92" w:rsidRDefault="004A5F9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C7B8814" w14:textId="77777777" w:rsidR="006A72EB" w:rsidRP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  <w:r w:rsidRPr="006A72EB">
        <w:rPr>
          <w:rFonts w:ascii="Helvetica" w:hAnsi="Helvetica" w:cs="Helvetica"/>
          <w:b/>
          <w:color w:val="000000"/>
          <w:sz w:val="20"/>
          <w:szCs w:val="20"/>
        </w:rPr>
        <w:t>Fair Use of TPC Results</w:t>
      </w:r>
    </w:p>
    <w:p w14:paraId="5A205FD3" w14:textId="77777777" w:rsid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7090589" w14:textId="77777777" w:rsidR="00676AB5" w:rsidRDefault="003C53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The primary portion of the policies that is relevant here is “Fair Use of TPC Results” (Policies 8.2), which states in part:  </w:t>
      </w:r>
      <w:r w:rsidR="00676AB5">
        <w:rPr>
          <w:rFonts w:ascii="Helvetica" w:hAnsi="Helvetica" w:cs="Helvetica"/>
          <w:color w:val="000000"/>
          <w:sz w:val="20"/>
          <w:szCs w:val="20"/>
        </w:rPr>
        <w:t>"</w:t>
      </w:r>
      <w:r w:rsidR="00676AB5">
        <w:rPr>
          <w:rFonts w:ascii="Helvetica" w:hAnsi="Helvetica" w:cs="Helvetica"/>
          <w:color w:val="000000"/>
          <w:sz w:val="20"/>
          <w:szCs w:val="20"/>
          <w:lang w:val="en"/>
        </w:rPr>
        <w:t>The TPC</w:t>
      </w:r>
      <w:r w:rsidR="00676AB5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676AB5">
        <w:rPr>
          <w:rFonts w:ascii="Helvetica" w:hAnsi="Helvetica" w:cs="Helvetica"/>
          <w:color w:val="000000"/>
          <w:sz w:val="20"/>
          <w:szCs w:val="20"/>
          <w:lang w:val="en"/>
        </w:rPr>
        <w:t>label may be applied to only fully legitimate Results, used in a fair manner."</w:t>
      </w:r>
    </w:p>
    <w:p w14:paraId="2026111E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F6B7626" w14:textId="77777777" w:rsidR="00676AB5" w:rsidRDefault="0083747B" w:rsidP="008374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Restated: </w:t>
      </w:r>
      <w:r w:rsidR="00676AB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Any use of the TPC name </w:t>
      </w:r>
      <w:r w:rsidR="006979A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 conjunction with published results </w:t>
      </w:r>
      <w:r w:rsidR="00676AB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must </w:t>
      </w:r>
      <w:r w:rsidR="006979A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ONLY </w:t>
      </w:r>
      <w:r w:rsidR="00676AB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be </w:t>
      </w:r>
      <w:r w:rsidR="006979A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used </w:t>
      </w:r>
      <w:r w:rsidR="00676AB5" w:rsidRPr="006979A5">
        <w:rPr>
          <w:rFonts w:ascii="Helvetica" w:hAnsi="Helvetica" w:cs="Helvetica"/>
          <w:b/>
          <w:bCs/>
          <w:color w:val="000000"/>
          <w:sz w:val="20"/>
          <w:szCs w:val="20"/>
        </w:rPr>
        <w:t>with official published results, available on the TPC web site.</w:t>
      </w:r>
    </w:p>
    <w:p w14:paraId="08A0903C" w14:textId="77777777" w:rsidR="00676AB5" w:rsidRDefault="00676AB5" w:rsidP="008374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  <w:lang w:val="en"/>
        </w:rPr>
      </w:pPr>
    </w:p>
    <w:p w14:paraId="12CA0E2A" w14:textId="77777777" w:rsidR="00676AB5" w:rsidRDefault="00676AB5" w:rsidP="008374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This </w:t>
      </w:r>
      <w:r w:rsidR="0083747B">
        <w:rPr>
          <w:rFonts w:ascii="Helvetica" w:hAnsi="Helvetica" w:cs="Helvetica"/>
          <w:color w:val="000000"/>
          <w:sz w:val="20"/>
          <w:szCs w:val="20"/>
        </w:rPr>
        <w:t xml:space="preserve">ensures </w:t>
      </w:r>
      <w:r>
        <w:rPr>
          <w:rFonts w:ascii="Helvetica" w:hAnsi="Helvetica" w:cs="Helvetica"/>
          <w:color w:val="000000"/>
          <w:sz w:val="20"/>
          <w:szCs w:val="20"/>
        </w:rPr>
        <w:t xml:space="preserve">that the results being compared </w:t>
      </w:r>
      <w:r w:rsidR="0083747B">
        <w:rPr>
          <w:rFonts w:ascii="Helvetica" w:hAnsi="Helvetica" w:cs="Helvetica"/>
          <w:color w:val="000000"/>
          <w:sz w:val="20"/>
          <w:szCs w:val="20"/>
        </w:rPr>
        <w:t xml:space="preserve">publicly </w:t>
      </w:r>
      <w:r>
        <w:rPr>
          <w:rFonts w:ascii="Helvetica" w:hAnsi="Helvetica" w:cs="Helvetica"/>
          <w:color w:val="000000"/>
          <w:sz w:val="20"/>
          <w:szCs w:val="20"/>
        </w:rPr>
        <w:t>were audited</w:t>
      </w:r>
      <w:r w:rsidR="00412784">
        <w:rPr>
          <w:rFonts w:ascii="Helvetica" w:hAnsi="Helvetica" w:cs="Helvetica"/>
          <w:color w:val="000000"/>
          <w:sz w:val="20"/>
          <w:szCs w:val="20"/>
        </w:rPr>
        <w:t xml:space="preserve"> and/or reviewed and </w:t>
      </w:r>
      <w:r>
        <w:rPr>
          <w:rFonts w:ascii="Helvetica" w:hAnsi="Helvetica" w:cs="Helvetica"/>
          <w:color w:val="000000"/>
          <w:sz w:val="20"/>
          <w:szCs w:val="20"/>
        </w:rPr>
        <w:t xml:space="preserve">that they were produced using </w:t>
      </w:r>
      <w:r w:rsidR="006979A5">
        <w:rPr>
          <w:rFonts w:ascii="Helvetica" w:hAnsi="Helvetica" w:cs="Helvetica"/>
          <w:color w:val="000000"/>
          <w:sz w:val="20"/>
          <w:szCs w:val="20"/>
        </w:rPr>
        <w:t>commercially available</w:t>
      </w:r>
      <w:r>
        <w:rPr>
          <w:rFonts w:ascii="Helvetica" w:hAnsi="Helvetica" w:cs="Helvetica"/>
          <w:color w:val="000000"/>
          <w:sz w:val="20"/>
          <w:szCs w:val="20"/>
        </w:rPr>
        <w:t xml:space="preserve"> software and hardware that is or will be available for purchase within 6 months</w:t>
      </w:r>
      <w:r w:rsidR="0083747B">
        <w:rPr>
          <w:rFonts w:ascii="Helvetica" w:hAnsi="Helvetica" w:cs="Helvetica"/>
          <w:color w:val="000000"/>
          <w:sz w:val="20"/>
          <w:szCs w:val="20"/>
        </w:rPr>
        <w:t xml:space="preserve"> of the publication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6C8E15DB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1E96008" w14:textId="77777777" w:rsidR="006A72EB" w:rsidRP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0"/>
          <w:szCs w:val="20"/>
        </w:rPr>
      </w:pPr>
      <w:r w:rsidRPr="006A72EB">
        <w:rPr>
          <w:rFonts w:ascii="Helvetica" w:hAnsi="Helvetica" w:cs="Helvetica"/>
          <w:b/>
          <w:color w:val="000000"/>
          <w:sz w:val="20"/>
          <w:szCs w:val="20"/>
        </w:rPr>
        <w:t xml:space="preserve">Non-TPC </w:t>
      </w:r>
      <w:r>
        <w:rPr>
          <w:rFonts w:ascii="Helvetica" w:hAnsi="Helvetica" w:cs="Helvetica"/>
          <w:b/>
          <w:color w:val="000000"/>
          <w:sz w:val="20"/>
          <w:szCs w:val="20"/>
        </w:rPr>
        <w:t>Benchmarks</w:t>
      </w:r>
    </w:p>
    <w:p w14:paraId="1115D4EC" w14:textId="77777777" w:rsidR="006A72EB" w:rsidRDefault="006A72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0D961630" w14:textId="77777777" w:rsidR="00676AB5" w:rsidRDefault="003C53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</w:t>
      </w:r>
      <w:r w:rsidR="00676AB5">
        <w:rPr>
          <w:rFonts w:ascii="Helvetica" w:hAnsi="Helvetica" w:cs="Helvetica"/>
          <w:color w:val="000000"/>
          <w:sz w:val="20"/>
          <w:szCs w:val="20"/>
        </w:rPr>
        <w:t xml:space="preserve">hat if </w:t>
      </w:r>
      <w:r w:rsidR="003350B8">
        <w:rPr>
          <w:rFonts w:ascii="Helvetica" w:hAnsi="Helvetica" w:cs="Helvetica"/>
          <w:color w:val="000000"/>
          <w:sz w:val="20"/>
          <w:szCs w:val="20"/>
        </w:rPr>
        <w:t>someone</w:t>
      </w:r>
      <w:r w:rsidR="00676AB5">
        <w:rPr>
          <w:rFonts w:ascii="Helvetica" w:hAnsi="Helvetica" w:cs="Helvetica"/>
          <w:color w:val="000000"/>
          <w:sz w:val="20"/>
          <w:szCs w:val="20"/>
        </w:rPr>
        <w:t xml:space="preserve"> want</w:t>
      </w:r>
      <w:r w:rsidR="003350B8">
        <w:rPr>
          <w:rFonts w:ascii="Helvetica" w:hAnsi="Helvetica" w:cs="Helvetica"/>
          <w:color w:val="000000"/>
          <w:sz w:val="20"/>
          <w:szCs w:val="20"/>
        </w:rPr>
        <w:t>s</w:t>
      </w:r>
      <w:r w:rsidR="00676AB5">
        <w:rPr>
          <w:rFonts w:ascii="Helvetica" w:hAnsi="Helvetica" w:cs="Helvetica"/>
          <w:color w:val="000000"/>
          <w:sz w:val="20"/>
          <w:szCs w:val="20"/>
        </w:rPr>
        <w:t xml:space="preserve"> to use results that were not audited</w:t>
      </w:r>
      <w:r w:rsidR="00412784">
        <w:rPr>
          <w:rFonts w:ascii="Helvetica" w:hAnsi="Helvetica" w:cs="Helvetica"/>
          <w:color w:val="000000"/>
          <w:sz w:val="20"/>
          <w:szCs w:val="20"/>
        </w:rPr>
        <w:t xml:space="preserve"> or reviewed</w:t>
      </w:r>
      <w:r w:rsidR="00676AB5">
        <w:rPr>
          <w:rFonts w:ascii="Helvetica" w:hAnsi="Helvetica" w:cs="Helvetica"/>
          <w:color w:val="000000"/>
          <w:sz w:val="20"/>
          <w:szCs w:val="20"/>
        </w:rPr>
        <w:t>?  Or were generated using software or hardware t</w:t>
      </w:r>
      <w:r w:rsidR="0083747B">
        <w:rPr>
          <w:rFonts w:ascii="Helvetica" w:hAnsi="Helvetica" w:cs="Helvetica"/>
          <w:color w:val="000000"/>
          <w:sz w:val="20"/>
          <w:szCs w:val="20"/>
        </w:rPr>
        <w:t>hat is not commercially availabl</w:t>
      </w:r>
      <w:r w:rsidR="00676AB5">
        <w:rPr>
          <w:rFonts w:ascii="Helvetica" w:hAnsi="Helvetica" w:cs="Helvetica"/>
          <w:color w:val="000000"/>
          <w:sz w:val="20"/>
          <w:szCs w:val="20"/>
        </w:rPr>
        <w:t>e?</w:t>
      </w:r>
      <w:r>
        <w:rPr>
          <w:rFonts w:ascii="Helvetica" w:hAnsi="Helvetica" w:cs="Helvetica"/>
          <w:color w:val="000000"/>
          <w:sz w:val="20"/>
          <w:szCs w:val="20"/>
        </w:rPr>
        <w:t xml:space="preserve">  Or used a modified version of a TPC benchmark?</w:t>
      </w:r>
    </w:p>
    <w:p w14:paraId="51DDE89B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93172DA" w14:textId="77777777" w:rsidR="003C5387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In </w:t>
      </w:r>
      <w:r w:rsidR="0083747B">
        <w:rPr>
          <w:rFonts w:ascii="Helvetica" w:hAnsi="Helvetica" w:cs="Helvetica"/>
          <w:color w:val="000000"/>
          <w:sz w:val="20"/>
          <w:szCs w:val="20"/>
        </w:rPr>
        <w:t>these cases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3C5387">
        <w:rPr>
          <w:rFonts w:ascii="Helvetica" w:hAnsi="Helvetica" w:cs="Helvetica"/>
          <w:color w:val="000000"/>
          <w:sz w:val="20"/>
          <w:szCs w:val="20"/>
        </w:rPr>
        <w:t xml:space="preserve">the </w:t>
      </w:r>
      <w:r w:rsidR="0083747B">
        <w:rPr>
          <w:rFonts w:ascii="Helvetica" w:hAnsi="Helvetica" w:cs="Helvetica"/>
          <w:color w:val="000000"/>
          <w:sz w:val="20"/>
          <w:szCs w:val="20"/>
        </w:rPr>
        <w:t xml:space="preserve">results are </w:t>
      </w:r>
      <w:r w:rsidR="003C5387">
        <w:rPr>
          <w:rFonts w:ascii="Helvetica" w:hAnsi="Helvetica" w:cs="Helvetica"/>
          <w:color w:val="000000"/>
          <w:sz w:val="20"/>
          <w:szCs w:val="20"/>
        </w:rPr>
        <w:t xml:space="preserve">from non-TPC benchmarks.  These are permitted via </w:t>
      </w:r>
      <w:r w:rsidR="00182882">
        <w:rPr>
          <w:rFonts w:ascii="Helvetica" w:hAnsi="Helvetica" w:cs="Helvetica"/>
          <w:color w:val="000000"/>
          <w:sz w:val="20"/>
          <w:szCs w:val="20"/>
        </w:rPr>
        <w:t xml:space="preserve">“Fair Use of TPC Specifications” (see Policies 8.3), which in turn must adhere to the provisions of </w:t>
      </w:r>
      <w:r w:rsidR="007D3BB0">
        <w:rPr>
          <w:rFonts w:ascii="Helvetica" w:hAnsi="Helvetica" w:cs="Helvetica"/>
          <w:color w:val="000000"/>
          <w:sz w:val="20"/>
          <w:szCs w:val="20"/>
        </w:rPr>
        <w:t xml:space="preserve">“Use of TPC Material” (see Policies 8.1) </w:t>
      </w:r>
      <w:r w:rsidR="00182882">
        <w:rPr>
          <w:rFonts w:ascii="Helvetica" w:hAnsi="Helvetica" w:cs="Helvetica"/>
          <w:color w:val="000000"/>
          <w:sz w:val="20"/>
          <w:szCs w:val="20"/>
        </w:rPr>
        <w:t xml:space="preserve">and the </w:t>
      </w:r>
      <w:r w:rsidR="007D3BB0">
        <w:rPr>
          <w:rFonts w:ascii="Helvetica" w:hAnsi="Helvetica" w:cs="Helvetica"/>
          <w:color w:val="000000"/>
          <w:sz w:val="20"/>
          <w:szCs w:val="20"/>
        </w:rPr>
        <w:t xml:space="preserve">general </w:t>
      </w:r>
      <w:r w:rsidR="003C5387">
        <w:rPr>
          <w:rFonts w:ascii="Helvetica" w:hAnsi="Helvetica" w:cs="Helvetica"/>
          <w:color w:val="000000"/>
          <w:sz w:val="20"/>
          <w:szCs w:val="20"/>
        </w:rPr>
        <w:t>“Fair Use” guidelines (Policies 8.2.1)</w:t>
      </w:r>
      <w:r w:rsidR="007D3BB0">
        <w:rPr>
          <w:rFonts w:ascii="Helvetica" w:hAnsi="Helvetica" w:cs="Helvetica"/>
          <w:color w:val="000000"/>
          <w:sz w:val="20"/>
          <w:szCs w:val="20"/>
        </w:rPr>
        <w:t>.</w:t>
      </w:r>
      <w:r w:rsidR="00A70A29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090FE84B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24F4995" w14:textId="77777777" w:rsidR="00676AB5" w:rsidRDefault="003C5387" w:rsidP="003C53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Restated</w:t>
      </w:r>
      <w:r w:rsidR="00676AB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:  Any use of a TPC benchmark outside of official published results is considered a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non-TPC benchmark</w:t>
      </w:r>
      <w:r w:rsidR="00676AB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and is subject to certain conditions</w:t>
      </w:r>
      <w:r w:rsidR="00676AB5">
        <w:rPr>
          <w:rFonts w:ascii="Helvetica" w:hAnsi="Helvetica" w:cs="Helvetica"/>
          <w:b/>
          <w:bCs/>
          <w:color w:val="000000"/>
          <w:sz w:val="20"/>
          <w:szCs w:val="20"/>
        </w:rPr>
        <w:t>.</w:t>
      </w:r>
    </w:p>
    <w:p w14:paraId="76C6A5C7" w14:textId="77777777" w:rsidR="00676AB5" w:rsidRDefault="00676AB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DD2BC87" w14:textId="77777777" w:rsidR="00A70A29" w:rsidRDefault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The following is a comprehensive list of these conditions.</w:t>
      </w:r>
    </w:p>
    <w:p w14:paraId="58975CFC" w14:textId="77777777" w:rsidR="00182882" w:rsidRDefault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41D71680" w14:textId="77777777" w:rsidR="007D3BB0" w:rsidRDefault="007D3BB0" w:rsidP="007D3BB0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A70A29">
        <w:rPr>
          <w:rFonts w:ascii="Helvetica" w:hAnsi="Helvetica" w:cs="Helvetica"/>
          <w:b/>
          <w:color w:val="000000"/>
          <w:sz w:val="20"/>
          <w:szCs w:val="20"/>
        </w:rPr>
        <w:t>Copyright</w:t>
      </w:r>
      <w:r>
        <w:rPr>
          <w:rFonts w:ascii="Helvetica" w:hAnsi="Helvetica" w:cs="Helvetica"/>
          <w:color w:val="000000"/>
          <w:sz w:val="20"/>
          <w:szCs w:val="20"/>
        </w:rPr>
        <w:t>.  See Policies 8.1.1.</w:t>
      </w:r>
    </w:p>
    <w:p w14:paraId="7386F600" w14:textId="77777777" w:rsidR="007D3BB0" w:rsidRDefault="007D3BB0" w:rsidP="007D3BB0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A70A29">
        <w:rPr>
          <w:rFonts w:ascii="Helvetica" w:hAnsi="Helvetica" w:cs="Helvetica"/>
          <w:b/>
          <w:color w:val="000000"/>
          <w:sz w:val="20"/>
          <w:szCs w:val="20"/>
        </w:rPr>
        <w:t>License</w:t>
      </w:r>
      <w:r>
        <w:rPr>
          <w:rFonts w:ascii="Helvetica" w:hAnsi="Helvetica" w:cs="Helvetica"/>
          <w:color w:val="000000"/>
          <w:sz w:val="20"/>
          <w:szCs w:val="20"/>
        </w:rPr>
        <w:t>.  See Policies 8.1.2.</w:t>
      </w:r>
    </w:p>
    <w:p w14:paraId="1B986579" w14:textId="77777777" w:rsidR="007D3BB0" w:rsidRDefault="007D3BB0" w:rsidP="007D3B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0"/>
          <w:szCs w:val="20"/>
        </w:rPr>
      </w:pPr>
    </w:p>
    <w:p w14:paraId="40799605" w14:textId="77777777" w:rsidR="007D3BB0" w:rsidRPr="007D3BB0" w:rsidRDefault="00A70A29" w:rsidP="007D3B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</w:r>
      <w:r w:rsidR="007D3BB0" w:rsidRPr="007D3BB0">
        <w:rPr>
          <w:rFonts w:ascii="Helvetica" w:hAnsi="Helvetica" w:cs="Helvetica"/>
          <w:color w:val="000000"/>
          <w:sz w:val="20"/>
          <w:szCs w:val="20"/>
        </w:rPr>
        <w:t>In all cases, the TPC Copyright Notice and License Agreement must be maintained.</w:t>
      </w:r>
    </w:p>
    <w:p w14:paraId="137D0719" w14:textId="77777777" w:rsidR="007D3BB0" w:rsidRDefault="007D3BB0" w:rsidP="007D3B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E861649" w14:textId="77777777" w:rsidR="007D3BB0" w:rsidRDefault="007D3BB0" w:rsidP="007D3BB0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A70A29">
        <w:rPr>
          <w:rFonts w:ascii="Helvetica" w:hAnsi="Helvetica" w:cs="Helvetica"/>
          <w:b/>
          <w:color w:val="000000"/>
          <w:sz w:val="20"/>
          <w:szCs w:val="20"/>
        </w:rPr>
        <w:t>Benchmark Name and Metrics</w:t>
      </w:r>
      <w:r>
        <w:rPr>
          <w:rFonts w:ascii="Helvetica" w:hAnsi="Helvetica" w:cs="Helvetica"/>
          <w:color w:val="000000"/>
          <w:sz w:val="20"/>
          <w:szCs w:val="20"/>
        </w:rPr>
        <w:t>.  See Policies 8.1.3.</w:t>
      </w:r>
    </w:p>
    <w:p w14:paraId="3911BDF2" w14:textId="77777777" w:rsidR="007D3BB0" w:rsidRDefault="007D3BB0" w:rsidP="007D3B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0"/>
          <w:szCs w:val="20"/>
        </w:rPr>
      </w:pPr>
    </w:p>
    <w:p w14:paraId="78B0B511" w14:textId="77777777" w:rsidR="00182882" w:rsidRDefault="00182882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Any use of the TPC Benchmark Name in a derived work must be prefixed with the phrase “Derived from”.</w:t>
      </w:r>
    </w:p>
    <w:p w14:paraId="2E1F4A4F" w14:textId="77777777" w:rsidR="007D3BB0" w:rsidRDefault="007D3BB0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0172795E" w14:textId="77777777" w:rsidR="00182882" w:rsidRDefault="00182882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 w:rsidRPr="00182882">
        <w:rPr>
          <w:rFonts w:ascii="Helvetica" w:hAnsi="Helvetica" w:cs="Helvetica"/>
          <w:b/>
          <w:color w:val="000000"/>
          <w:sz w:val="20"/>
          <w:szCs w:val="20"/>
        </w:rPr>
        <w:t>Example</w:t>
      </w:r>
      <w:r>
        <w:rPr>
          <w:rFonts w:ascii="Helvetica" w:hAnsi="Helvetica" w:cs="Helvetica"/>
          <w:color w:val="000000"/>
          <w:sz w:val="20"/>
          <w:szCs w:val="20"/>
        </w:rPr>
        <w:t>:  For analysis, instead of the title “Performance of TPC-DS Query 14” use “Performance of Query derived from TPC-DS Query 14”.</w:t>
      </w:r>
    </w:p>
    <w:p w14:paraId="1FA6B543" w14:textId="77777777" w:rsidR="00182882" w:rsidRDefault="00182882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598481F6" w14:textId="77777777" w:rsidR="00182882" w:rsidRDefault="00182882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The use of any Primary Metric or Optional Metric of a TPC Benchmark is not allowed.</w:t>
      </w:r>
    </w:p>
    <w:p w14:paraId="4B7AAFAB" w14:textId="77777777" w:rsidR="00182882" w:rsidRDefault="00182882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3CB2077E" w14:textId="77777777" w:rsidR="00182882" w:rsidRDefault="00182882" w:rsidP="00A70A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 w:rsidRPr="00182882">
        <w:rPr>
          <w:rFonts w:ascii="Helvetica" w:hAnsi="Helvetica" w:cs="Helvetica"/>
          <w:b/>
          <w:color w:val="000000"/>
          <w:sz w:val="20"/>
          <w:szCs w:val="20"/>
        </w:rPr>
        <w:t>Example</w:t>
      </w:r>
      <w:r>
        <w:rPr>
          <w:rFonts w:ascii="Helvetica" w:hAnsi="Helvetica" w:cs="Helvetica"/>
          <w:color w:val="000000"/>
          <w:sz w:val="20"/>
          <w:szCs w:val="20"/>
        </w:rPr>
        <w:t>:  For reported metrics, instead of using tpsE (transactions-per-second-E), you could use tps (transactions-per-second).</w:t>
      </w:r>
    </w:p>
    <w:p w14:paraId="14D6347C" w14:textId="77777777" w:rsidR="00182882" w:rsidRDefault="00182882" w:rsidP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78A82600" w14:textId="77777777" w:rsidR="00182882" w:rsidRDefault="007D3BB0" w:rsidP="0018288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A70A29">
        <w:rPr>
          <w:rFonts w:ascii="Helvetica" w:hAnsi="Helvetica" w:cs="Helvetica"/>
          <w:b/>
          <w:color w:val="000000"/>
          <w:sz w:val="20"/>
          <w:szCs w:val="20"/>
        </w:rPr>
        <w:t>Disclaimer</w:t>
      </w:r>
      <w:r>
        <w:rPr>
          <w:rFonts w:ascii="Helvetica" w:hAnsi="Helvetica" w:cs="Helvetica"/>
          <w:color w:val="000000"/>
          <w:sz w:val="20"/>
          <w:szCs w:val="20"/>
        </w:rPr>
        <w:t>.  See Policies 8.1.4.</w:t>
      </w:r>
    </w:p>
    <w:p w14:paraId="65C6CD9A" w14:textId="77777777" w:rsidR="00182882" w:rsidRDefault="00182882" w:rsidP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16CA73AD" w14:textId="77777777" w:rsidR="007D3BB0" w:rsidRDefault="00182882" w:rsidP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 w:rsidRPr="00182882">
        <w:rPr>
          <w:rFonts w:ascii="Helvetica" w:hAnsi="Helvetica" w:cs="Helvetica"/>
          <w:color w:val="000000"/>
          <w:sz w:val="20"/>
          <w:szCs w:val="20"/>
        </w:rPr>
        <w:lastRenderedPageBreak/>
        <w:t>A disclaimer, in the format prescribed in Policies 8.1.4</w:t>
      </w:r>
      <w:r w:rsidR="007C702C">
        <w:rPr>
          <w:rFonts w:ascii="Helvetica" w:hAnsi="Helvetica" w:cs="Helvetica"/>
          <w:color w:val="000000"/>
          <w:sz w:val="20"/>
          <w:szCs w:val="20"/>
        </w:rPr>
        <w:t xml:space="preserve"> (also below)</w:t>
      </w:r>
      <w:r w:rsidRPr="00182882"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</w:rPr>
        <w:t xml:space="preserve">needs to be present wherever derived results are presented.  This could be in an appropriate introductory </w:t>
      </w:r>
      <w:r w:rsidR="00292BDF">
        <w:rPr>
          <w:rFonts w:ascii="Helvetica" w:hAnsi="Helvetica" w:cs="Helvetica"/>
          <w:color w:val="000000"/>
          <w:sz w:val="20"/>
          <w:szCs w:val="20"/>
        </w:rPr>
        <w:t>section</w:t>
      </w:r>
      <w:r>
        <w:rPr>
          <w:rFonts w:ascii="Helvetica" w:hAnsi="Helvetica" w:cs="Helvetica"/>
          <w:color w:val="000000"/>
          <w:sz w:val="20"/>
          <w:szCs w:val="20"/>
        </w:rPr>
        <w:t xml:space="preserve"> of an academic paper</w:t>
      </w:r>
      <w:r w:rsidR="00292BDF">
        <w:rPr>
          <w:rFonts w:ascii="Helvetica" w:hAnsi="Helvetica" w:cs="Helvetica"/>
          <w:color w:val="000000"/>
          <w:sz w:val="20"/>
          <w:szCs w:val="20"/>
        </w:rPr>
        <w:t xml:space="preserve"> or research report, or an introductory paragraph of a blog post, or </w:t>
      </w:r>
      <w:r>
        <w:rPr>
          <w:rFonts w:ascii="Helvetica" w:hAnsi="Helvetica" w:cs="Helvetica"/>
          <w:color w:val="000000"/>
          <w:sz w:val="20"/>
          <w:szCs w:val="20"/>
        </w:rPr>
        <w:t>as a footnote on any chart or graph displaying performance data.</w:t>
      </w:r>
    </w:p>
    <w:p w14:paraId="6FC46872" w14:textId="77777777" w:rsidR="007C702C" w:rsidRDefault="007C702C" w:rsidP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5CE7CAE2" w14:textId="77777777" w:rsidR="007C702C" w:rsidRDefault="007C702C" w:rsidP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 w:rsidRPr="007C702C">
        <w:rPr>
          <w:rFonts w:ascii="Helvetica" w:hAnsi="Helvetica" w:cs="Helvetica"/>
          <w:color w:val="000000"/>
          <w:sz w:val="20"/>
          <w:szCs w:val="20"/>
        </w:rPr>
        <w:t>The required disclaimer is as follows:</w:t>
      </w:r>
    </w:p>
    <w:p w14:paraId="435F287A" w14:textId="77777777" w:rsidR="007C702C" w:rsidRPr="007C702C" w:rsidRDefault="007C702C" w:rsidP="001828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34A0AB22" w14:textId="77777777" w:rsidR="008B4F2B" w:rsidRPr="007C702C" w:rsidRDefault="007C702C" w:rsidP="008B4F2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  <w:lang w:eastAsia="en-US" w:bidi="ar-SA"/>
        </w:rPr>
      </w:pPr>
      <w:r w:rsidRPr="008B4F2B">
        <w:rPr>
          <w:rFonts w:ascii="Helvetica" w:hAnsi="Helvetica" w:cs="Helvetica"/>
          <w:sz w:val="20"/>
          <w:szCs w:val="20"/>
        </w:rPr>
        <w:t>“The &lt;name of derived work&gt; is derived from the &lt;</w:t>
      </w:r>
      <w:r w:rsidRPr="008B4F2B">
        <w:rPr>
          <w:rFonts w:ascii="Helvetica" w:hAnsi="Helvetica" w:cs="Helvetica"/>
          <w:bCs/>
          <w:sz w:val="20"/>
          <w:szCs w:val="20"/>
        </w:rPr>
        <w:t xml:space="preserve">TPC Benchmark </w:t>
      </w:r>
      <w:r w:rsidRPr="008B4F2B">
        <w:rPr>
          <w:rFonts w:ascii="Helvetica" w:hAnsi="Helvetica" w:cs="Helvetica"/>
          <w:sz w:val="20"/>
          <w:szCs w:val="20"/>
        </w:rPr>
        <w:t>name&gt; and as such is not comparable to published &lt;</w:t>
      </w:r>
      <w:r w:rsidRPr="008B4F2B">
        <w:rPr>
          <w:rFonts w:ascii="Helvetica" w:hAnsi="Helvetica" w:cs="Helvetica"/>
          <w:bCs/>
          <w:sz w:val="20"/>
          <w:szCs w:val="20"/>
        </w:rPr>
        <w:t xml:space="preserve">TPC Benchmark </w:t>
      </w:r>
      <w:r w:rsidRPr="008B4F2B">
        <w:rPr>
          <w:rFonts w:ascii="Helvetica" w:hAnsi="Helvetica" w:cs="Helvetica"/>
          <w:sz w:val="20"/>
          <w:szCs w:val="20"/>
        </w:rPr>
        <w:t>name&gt; results</w:t>
      </w:r>
      <w:r w:rsidR="008B4F2B" w:rsidRPr="008B4F2B">
        <w:rPr>
          <w:rFonts w:ascii="Helvetica" w:hAnsi="Helvetica" w:cs="Helvetica"/>
          <w:color w:val="000000"/>
          <w:sz w:val="20"/>
          <w:szCs w:val="20"/>
          <w:lang w:eastAsia="en-US" w:bidi="ar-SA"/>
        </w:rPr>
        <w:t xml:space="preserve">, </w:t>
      </w:r>
      <w:r w:rsidR="008B4F2B" w:rsidRPr="008B4F2B">
        <w:rPr>
          <w:rFonts w:ascii="Helvetica" w:hAnsi="Helvetica" w:cs="Helvetica"/>
          <w:bCs/>
          <w:color w:val="000000"/>
          <w:sz w:val="20"/>
          <w:szCs w:val="20"/>
          <w:lang w:eastAsia="en-US" w:bidi="ar-SA"/>
        </w:rPr>
        <w:t>as the &lt;name of derived work&gt; results do not comply with the &lt;TPC Benchmark name&gt; Specification.”</w:t>
      </w:r>
    </w:p>
    <w:p w14:paraId="12D216E3" w14:textId="77777777" w:rsidR="007D3BB0" w:rsidRDefault="007D3BB0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20C4CCA5" w14:textId="77777777" w:rsidR="007D3BB0" w:rsidRDefault="00AC1506" w:rsidP="008A0664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 xml:space="preserve">Fair Use and </w:t>
      </w:r>
      <w:r w:rsidR="006979A5">
        <w:rPr>
          <w:rFonts w:ascii="Helvetica" w:hAnsi="Helvetica" w:cs="Helvetica"/>
          <w:b/>
          <w:color w:val="000000"/>
          <w:sz w:val="20"/>
          <w:szCs w:val="20"/>
        </w:rPr>
        <w:t>Disclosure</w:t>
      </w:r>
      <w:r w:rsidR="008A0664">
        <w:rPr>
          <w:rFonts w:ascii="Helvetica" w:hAnsi="Helvetica" w:cs="Helvetica"/>
          <w:color w:val="000000"/>
          <w:sz w:val="20"/>
          <w:szCs w:val="20"/>
        </w:rPr>
        <w:t>.  See Policies 8.2.1</w:t>
      </w:r>
    </w:p>
    <w:p w14:paraId="38EBA90A" w14:textId="77777777" w:rsidR="008A0664" w:rsidRDefault="008A0664" w:rsidP="008A06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43C0A8F8" w14:textId="77777777" w:rsidR="008A0664" w:rsidRDefault="005B01AC" w:rsidP="008A06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 key property of a TPC Result is the Full Disclosure Report, which provides sufficient context to allow TPC Results to be compared.  In the case of non-TPC Benchmarks, the requirement for an FDR does not exist.  However, to support the notion of Fair Use, there </w:t>
      </w:r>
      <w:r w:rsidR="00A90D7E">
        <w:rPr>
          <w:rFonts w:ascii="Helvetica" w:hAnsi="Helvetica" w:cs="Helvetica"/>
          <w:color w:val="000000"/>
          <w:sz w:val="20"/>
          <w:szCs w:val="20"/>
        </w:rPr>
        <w:t>should</w:t>
      </w:r>
      <w:r>
        <w:rPr>
          <w:rFonts w:ascii="Helvetica" w:hAnsi="Helvetica" w:cs="Helvetica"/>
          <w:color w:val="000000"/>
          <w:sz w:val="20"/>
          <w:szCs w:val="20"/>
        </w:rPr>
        <w:t xml:space="preserve"> be </w:t>
      </w:r>
      <w:r w:rsidR="006D3520">
        <w:rPr>
          <w:rFonts w:ascii="Helvetica" w:hAnsi="Helvetica" w:cs="Helvetica"/>
          <w:color w:val="000000"/>
          <w:sz w:val="20"/>
          <w:szCs w:val="20"/>
        </w:rPr>
        <w:t xml:space="preserve">sufficient </w:t>
      </w:r>
      <w:r>
        <w:rPr>
          <w:rFonts w:ascii="Helvetica" w:hAnsi="Helvetica" w:cs="Helvetica"/>
          <w:color w:val="000000"/>
          <w:sz w:val="20"/>
          <w:szCs w:val="20"/>
        </w:rPr>
        <w:t xml:space="preserve">disclosure of the environment(s) being tested, such that a reader </w:t>
      </w:r>
      <w:r w:rsidR="006D3520">
        <w:rPr>
          <w:rFonts w:ascii="Helvetica" w:hAnsi="Helvetica" w:cs="Helvetica"/>
          <w:color w:val="000000"/>
          <w:sz w:val="20"/>
          <w:szCs w:val="20"/>
        </w:rPr>
        <w:t xml:space="preserve">can </w:t>
      </w:r>
      <w:r>
        <w:rPr>
          <w:rFonts w:ascii="Helvetica" w:hAnsi="Helvetica" w:cs="Helvetica"/>
          <w:color w:val="000000"/>
          <w:sz w:val="20"/>
          <w:szCs w:val="20"/>
        </w:rPr>
        <w:t xml:space="preserve">make a fair comparison.  </w:t>
      </w:r>
      <w:r w:rsidR="008A0664">
        <w:rPr>
          <w:rFonts w:ascii="Helvetica" w:hAnsi="Helvetica" w:cs="Helvetica"/>
          <w:color w:val="000000"/>
          <w:sz w:val="20"/>
          <w:szCs w:val="20"/>
        </w:rPr>
        <w:t xml:space="preserve">For example, this would prevent a performance comparison being made between two products with different CPU </w:t>
      </w:r>
      <w:r w:rsidR="006979A5">
        <w:rPr>
          <w:rFonts w:ascii="Helvetica" w:hAnsi="Helvetica" w:cs="Helvetica"/>
          <w:color w:val="000000"/>
          <w:sz w:val="20"/>
          <w:szCs w:val="20"/>
        </w:rPr>
        <w:t xml:space="preserve">configurations, </w:t>
      </w:r>
      <w:r w:rsidR="008A0664">
        <w:rPr>
          <w:rFonts w:ascii="Helvetica" w:hAnsi="Helvetica" w:cs="Helvetica"/>
          <w:color w:val="000000"/>
          <w:sz w:val="20"/>
          <w:szCs w:val="20"/>
        </w:rPr>
        <w:t>memory configurations, or storage configurations</w:t>
      </w:r>
      <w:r w:rsidR="006979A5">
        <w:rPr>
          <w:rFonts w:ascii="Helvetica" w:hAnsi="Helvetica" w:cs="Helvetica"/>
          <w:color w:val="000000"/>
          <w:sz w:val="20"/>
          <w:szCs w:val="20"/>
        </w:rPr>
        <w:t>, without those differences being properly disclosed.</w:t>
      </w:r>
    </w:p>
    <w:p w14:paraId="511EFEBF" w14:textId="77777777" w:rsidR="008A0664" w:rsidRDefault="008A0664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2D1FB842" w14:textId="77777777" w:rsidR="008A0664" w:rsidRDefault="008A0664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 w:rsidRPr="008A0664">
        <w:rPr>
          <w:rFonts w:ascii="Helvetica" w:hAnsi="Helvetica" w:cs="Helvetica"/>
          <w:b/>
          <w:color w:val="000000"/>
          <w:sz w:val="20"/>
          <w:szCs w:val="20"/>
        </w:rPr>
        <w:t>Example</w:t>
      </w:r>
      <w:r>
        <w:rPr>
          <w:rFonts w:ascii="Helvetica" w:hAnsi="Helvetica" w:cs="Helvetica"/>
          <w:color w:val="000000"/>
          <w:sz w:val="20"/>
          <w:szCs w:val="20"/>
        </w:rPr>
        <w:t>: The test system was a 4-socket system, with 4 processors with 24 cores (48 threads) with 192MB of L3 cache each.  The system had 32 16GB DDR4 DIMMs.  Two 240GB SSDs were configured in a RAID-1 array as the boot disk, and 12 480GB SSDs were configured in a RAID-6 array for the database.</w:t>
      </w:r>
    </w:p>
    <w:p w14:paraId="34EC91C5" w14:textId="77777777" w:rsidR="003C5387" w:rsidRDefault="003C5387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72A10B94" w14:textId="77777777" w:rsidR="008A0664" w:rsidRDefault="006979A5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 w:rsidRPr="006979A5">
        <w:rPr>
          <w:rFonts w:ascii="Helvetica" w:hAnsi="Helvetica" w:cs="Helvetica"/>
          <w:b/>
          <w:color w:val="000000"/>
          <w:sz w:val="20"/>
          <w:szCs w:val="20"/>
        </w:rPr>
        <w:t>Comment</w:t>
      </w:r>
      <w:r>
        <w:rPr>
          <w:rFonts w:ascii="Helvetica" w:hAnsi="Helvetica" w:cs="Helvetica"/>
          <w:color w:val="000000"/>
          <w:sz w:val="20"/>
          <w:szCs w:val="20"/>
        </w:rPr>
        <w:t xml:space="preserve">:  </w:t>
      </w:r>
      <w:r w:rsidR="008A0664">
        <w:rPr>
          <w:rFonts w:ascii="Helvetica" w:hAnsi="Helvetica" w:cs="Helvetica"/>
          <w:color w:val="000000"/>
          <w:sz w:val="20"/>
          <w:szCs w:val="20"/>
        </w:rPr>
        <w:t>The provisions in Policies 8.2.1.4 through 8.2.1.8 do not apply to non-TPC Benchmarks.</w:t>
      </w:r>
    </w:p>
    <w:p w14:paraId="274624E1" w14:textId="77777777" w:rsidR="00292BDF" w:rsidRDefault="00292BDF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490185CF" w14:textId="77777777" w:rsidR="00292BDF" w:rsidRDefault="00292BDF" w:rsidP="00292BDF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292BDF">
        <w:rPr>
          <w:rFonts w:ascii="Helvetica" w:hAnsi="Helvetica" w:cs="Helvetica"/>
          <w:b/>
          <w:color w:val="000000"/>
          <w:sz w:val="20"/>
          <w:szCs w:val="20"/>
        </w:rPr>
        <w:t>Deviations</w:t>
      </w:r>
      <w:r>
        <w:rPr>
          <w:rFonts w:ascii="Helvetica" w:hAnsi="Helvetica" w:cs="Helvetica"/>
          <w:color w:val="000000"/>
          <w:sz w:val="20"/>
          <w:szCs w:val="20"/>
        </w:rPr>
        <w:t>.  See Policies 8.3.2.</w:t>
      </w:r>
    </w:p>
    <w:p w14:paraId="5A772745" w14:textId="77777777" w:rsidR="00292BDF" w:rsidRDefault="00292BDF" w:rsidP="00292B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282A7070" w14:textId="77777777" w:rsidR="00292BDF" w:rsidRDefault="00A90D7E" w:rsidP="00292B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</w:t>
      </w:r>
      <w:r w:rsidR="00292BDF">
        <w:rPr>
          <w:rFonts w:ascii="Helvetica" w:hAnsi="Helvetica" w:cs="Helvetica"/>
          <w:color w:val="000000"/>
          <w:sz w:val="20"/>
          <w:szCs w:val="20"/>
        </w:rPr>
        <w:t xml:space="preserve">ll deviations from the requirements of a TPC Specification </w:t>
      </w:r>
      <w:r>
        <w:rPr>
          <w:rFonts w:ascii="Helvetica" w:hAnsi="Helvetica" w:cs="Helvetica"/>
          <w:color w:val="000000"/>
          <w:sz w:val="20"/>
          <w:szCs w:val="20"/>
        </w:rPr>
        <w:t>should</w:t>
      </w:r>
      <w:r w:rsidR="00292BDF">
        <w:rPr>
          <w:rFonts w:ascii="Helvetica" w:hAnsi="Helvetica" w:cs="Helvetica"/>
          <w:color w:val="000000"/>
          <w:sz w:val="20"/>
          <w:szCs w:val="20"/>
        </w:rPr>
        <w:t xml:space="preserve"> be noted.</w:t>
      </w:r>
      <w:r w:rsidR="006979A5">
        <w:rPr>
          <w:rFonts w:ascii="Helvetica" w:hAnsi="Helvetica" w:cs="Helvetica"/>
          <w:color w:val="000000"/>
          <w:sz w:val="20"/>
          <w:szCs w:val="20"/>
        </w:rPr>
        <w:t xml:space="preserve">  </w:t>
      </w:r>
    </w:p>
    <w:p w14:paraId="7F284184" w14:textId="77777777" w:rsidR="002B2594" w:rsidRDefault="00292BDF" w:rsidP="002B259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Similar to the disclaimer requirement of 8.1.4, this </w:t>
      </w:r>
      <w:r w:rsidR="00A90D7E">
        <w:rPr>
          <w:rFonts w:ascii="Helvetica" w:hAnsi="Helvetica" w:cs="Helvetica"/>
          <w:color w:val="000000"/>
          <w:sz w:val="20"/>
          <w:szCs w:val="20"/>
        </w:rPr>
        <w:t>should</w:t>
      </w:r>
      <w:r>
        <w:rPr>
          <w:rFonts w:ascii="Helvetica" w:hAnsi="Helvetica" w:cs="Helvetica"/>
          <w:color w:val="000000"/>
          <w:sz w:val="20"/>
          <w:szCs w:val="20"/>
        </w:rPr>
        <w:t xml:space="preserve"> be presented in a suitable introductory section or paragraph</w:t>
      </w:r>
      <w:r w:rsidR="002B2594">
        <w:rPr>
          <w:rFonts w:ascii="Helvetica" w:hAnsi="Helvetica" w:cs="Helvetica"/>
          <w:color w:val="000000"/>
          <w:sz w:val="20"/>
          <w:szCs w:val="20"/>
        </w:rPr>
        <w:br/>
      </w:r>
      <w:r w:rsidR="002B2594">
        <w:rPr>
          <w:rFonts w:ascii="Helvetica" w:hAnsi="Helvetica" w:cs="Helvetica"/>
          <w:color w:val="000000"/>
          <w:sz w:val="20"/>
          <w:szCs w:val="20"/>
        </w:rPr>
        <w:br/>
      </w:r>
      <w:r w:rsidR="002B2594" w:rsidRPr="002B2594">
        <w:rPr>
          <w:rFonts w:ascii="Helvetica" w:hAnsi="Helvetica" w:cs="Helvetica"/>
          <w:b/>
          <w:color w:val="000000"/>
          <w:sz w:val="20"/>
          <w:szCs w:val="20"/>
        </w:rPr>
        <w:t>Commen</w:t>
      </w:r>
      <w:r w:rsidR="002B2594">
        <w:rPr>
          <w:rFonts w:ascii="Helvetica" w:hAnsi="Helvetica" w:cs="Helvetica"/>
          <w:color w:val="000000"/>
          <w:sz w:val="20"/>
          <w:szCs w:val="20"/>
        </w:rPr>
        <w:t xml:space="preserve">t:  This includes, but is not limited to, schema definition, query text, transaction definitions, </w:t>
      </w:r>
      <w:r w:rsidR="007510B7">
        <w:rPr>
          <w:rFonts w:ascii="Helvetica" w:hAnsi="Helvetica" w:cs="Helvetica"/>
          <w:color w:val="000000"/>
          <w:sz w:val="20"/>
          <w:szCs w:val="20"/>
        </w:rPr>
        <w:t xml:space="preserve">durability and data accessibility, </w:t>
      </w:r>
      <w:r w:rsidR="002B2594">
        <w:rPr>
          <w:rFonts w:ascii="Helvetica" w:hAnsi="Helvetica" w:cs="Helvetica"/>
          <w:color w:val="000000"/>
          <w:sz w:val="20"/>
          <w:szCs w:val="20"/>
        </w:rPr>
        <w:t>run methodology, and primary metrics.</w:t>
      </w:r>
    </w:p>
    <w:p w14:paraId="46665412" w14:textId="77777777" w:rsidR="00292BDF" w:rsidRDefault="00292BDF" w:rsidP="00292B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5EB41EC3" w14:textId="77777777" w:rsidR="00292BDF" w:rsidRDefault="00292BDF" w:rsidP="00292BDF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292BDF">
        <w:rPr>
          <w:rFonts w:ascii="Helvetica" w:hAnsi="Helvetica" w:cs="Helvetica"/>
          <w:b/>
          <w:color w:val="000000"/>
          <w:sz w:val="20"/>
          <w:szCs w:val="20"/>
        </w:rPr>
        <w:t>Comparability</w:t>
      </w:r>
      <w:r>
        <w:rPr>
          <w:rFonts w:ascii="Helvetica" w:hAnsi="Helvetica" w:cs="Helvetica"/>
          <w:color w:val="000000"/>
          <w:sz w:val="20"/>
          <w:szCs w:val="20"/>
        </w:rPr>
        <w:t>.  See Policies 8.3.3.</w:t>
      </w:r>
    </w:p>
    <w:p w14:paraId="3F0D1214" w14:textId="77777777" w:rsidR="00292BDF" w:rsidRDefault="00292BDF" w:rsidP="00292BD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</w:p>
    <w:p w14:paraId="737B710A" w14:textId="77777777" w:rsidR="006D3520" w:rsidRDefault="00292BDF" w:rsidP="00A15C4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</w:t>
      </w:r>
      <w:r w:rsidR="00412784">
        <w:rPr>
          <w:rFonts w:ascii="Helvetica" w:hAnsi="Helvetica" w:cs="Helvetica"/>
          <w:color w:val="000000"/>
          <w:sz w:val="20"/>
          <w:szCs w:val="20"/>
        </w:rPr>
        <w:t>n</w:t>
      </w:r>
      <w:r w:rsidR="00A15C4D">
        <w:rPr>
          <w:rFonts w:ascii="Helvetica" w:hAnsi="Helvetica" w:cs="Helvetica"/>
          <w:color w:val="000000"/>
          <w:sz w:val="20"/>
          <w:szCs w:val="20"/>
        </w:rPr>
        <w:t>y comparison</w:t>
      </w:r>
      <w:r w:rsidR="006D3520">
        <w:rPr>
          <w:rFonts w:ascii="Helvetica" w:hAnsi="Helvetica" w:cs="Helvetica"/>
          <w:color w:val="000000"/>
          <w:sz w:val="20"/>
          <w:szCs w:val="20"/>
        </w:rPr>
        <w:t xml:space="preserve"> between official TPC Results with non-TPC </w:t>
      </w:r>
      <w:r w:rsidR="00A15C4D">
        <w:rPr>
          <w:rFonts w:ascii="Helvetica" w:hAnsi="Helvetica" w:cs="Helvetica"/>
          <w:color w:val="000000"/>
          <w:sz w:val="20"/>
          <w:szCs w:val="20"/>
        </w:rPr>
        <w:t xml:space="preserve">workloads </w:t>
      </w:r>
      <w:r w:rsidR="006D3520">
        <w:rPr>
          <w:rFonts w:ascii="Helvetica" w:hAnsi="Helvetica" w:cs="Helvetica"/>
          <w:color w:val="000000"/>
          <w:sz w:val="20"/>
          <w:szCs w:val="20"/>
        </w:rPr>
        <w:t>is prohibited.</w:t>
      </w:r>
    </w:p>
    <w:p w14:paraId="61AC7C6D" w14:textId="77777777" w:rsidR="007D3BB0" w:rsidRDefault="007D3BB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sectPr w:rsidR="007D3B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7EE9"/>
    <w:multiLevelType w:val="hybridMultilevel"/>
    <w:tmpl w:val="B2C00C74"/>
    <w:lvl w:ilvl="0" w:tplc="105AA432">
      <w:start w:val="1"/>
      <w:numFmt w:val="lowerLetter"/>
      <w:lvlText w:val="%1)"/>
      <w:lvlJc w:val="left"/>
      <w:pPr>
        <w:ind w:left="1080" w:hanging="360"/>
      </w:pPr>
      <w:rPr>
        <w:rFonts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"/>
      </w:rPr>
    </w:lvl>
  </w:abstractNum>
  <w:abstractNum w:abstractNumId="1" w15:restartNumberingAfterBreak="0">
    <w:nsid w:val="17DE5B78"/>
    <w:multiLevelType w:val="hybridMultilevel"/>
    <w:tmpl w:val="A40E2E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"/>
      </w:rPr>
    </w:lvl>
  </w:abstractNum>
  <w:abstractNum w:abstractNumId="2" w15:restartNumberingAfterBreak="0">
    <w:nsid w:val="336E5151"/>
    <w:multiLevelType w:val="hybridMultilevel"/>
    <w:tmpl w:val="5DC844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05"/>
    <w:rsid w:val="00182882"/>
    <w:rsid w:val="00187B5C"/>
    <w:rsid w:val="00225836"/>
    <w:rsid w:val="00292BDF"/>
    <w:rsid w:val="002B2594"/>
    <w:rsid w:val="003350B8"/>
    <w:rsid w:val="003C5387"/>
    <w:rsid w:val="003D5C7F"/>
    <w:rsid w:val="00412784"/>
    <w:rsid w:val="004A5F92"/>
    <w:rsid w:val="005B01AC"/>
    <w:rsid w:val="00676AB5"/>
    <w:rsid w:val="006979A5"/>
    <w:rsid w:val="006A72EB"/>
    <w:rsid w:val="006D3520"/>
    <w:rsid w:val="007510B7"/>
    <w:rsid w:val="00771627"/>
    <w:rsid w:val="007C702C"/>
    <w:rsid w:val="007D3BB0"/>
    <w:rsid w:val="0083747B"/>
    <w:rsid w:val="00852CB9"/>
    <w:rsid w:val="008A0664"/>
    <w:rsid w:val="008B4F2B"/>
    <w:rsid w:val="00924DBC"/>
    <w:rsid w:val="00A15C4D"/>
    <w:rsid w:val="00A70A29"/>
    <w:rsid w:val="00A90D7E"/>
    <w:rsid w:val="00AC1506"/>
    <w:rsid w:val="00B87F95"/>
    <w:rsid w:val="00D539DE"/>
    <w:rsid w:val="00DC7D8E"/>
    <w:rsid w:val="00F45B05"/>
    <w:rsid w:val="00FF2687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5B688D7"/>
  <w14:defaultImageDpi w14:val="0"/>
  <w15:docId w15:val="{97DB973C-5514-0941-B635-ED1543A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Shruti"/>
      <w:sz w:val="24"/>
      <w:szCs w:val="24"/>
      <w:lang w:eastAsia="ja-JP" w:bidi="gu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5F92"/>
    <w:rPr>
      <w:rFonts w:cs="Times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c.org/information/about/docum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memmerto</dc:creator>
  <cp:keywords/>
  <dc:description/>
  <cp:lastModifiedBy>Michael Majdalany</cp:lastModifiedBy>
  <cp:revision>2</cp:revision>
  <cp:lastPrinted>2019-06-06T00:37:00Z</cp:lastPrinted>
  <dcterms:created xsi:type="dcterms:W3CDTF">2019-12-16T17:33:00Z</dcterms:created>
  <dcterms:modified xsi:type="dcterms:W3CDTF">2019-12-16T17:33:00Z</dcterms:modified>
</cp:coreProperties>
</file>